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076" w:rsidRPr="00791C06" w:rsidRDefault="00791C06" w:rsidP="00527519">
      <w:pPr>
        <w:jc w:val="center"/>
        <w:rPr>
          <w:rFonts w:ascii="Times New Roman" w:hAnsi="Times New Roman" w:cs="Times New Roman"/>
          <w:sz w:val="32"/>
        </w:rPr>
      </w:pPr>
      <w:r w:rsidRPr="00791C06">
        <w:rPr>
          <w:rFonts w:ascii="Times New Roman" w:hAnsi="Times New Roman" w:cs="Times New Roman"/>
          <w:sz w:val="32"/>
        </w:rPr>
        <w:t>Általános tájékoztató</w:t>
      </w:r>
    </w:p>
    <w:p w:rsidR="006F06B0" w:rsidRDefault="006F06B0" w:rsidP="006F06B0">
      <w:pPr>
        <w:pStyle w:val="NormlWeb"/>
      </w:pPr>
      <w:r>
        <w:rPr>
          <w:rStyle w:val="Kiemels"/>
          <w:b/>
          <w:bCs/>
        </w:rPr>
        <w:t>Az Iskola részéről a program felelőse és kapcsolattartója:</w:t>
      </w:r>
      <w:r>
        <w:rPr>
          <w:rStyle w:val="Kiemels"/>
          <w:b/>
          <w:bCs/>
          <w:shd w:val="clear" w:color="auto" w:fill="FFFF00"/>
        </w:rPr>
        <w:t xml:space="preserve"> </w:t>
      </w:r>
    </w:p>
    <w:p w:rsidR="006F06B0" w:rsidRDefault="006F06B0" w:rsidP="006F06B0">
      <w:pPr>
        <w:pStyle w:val="NormlWeb"/>
      </w:pPr>
      <w:proofErr w:type="gramStart"/>
      <w:r>
        <w:rPr>
          <w:rStyle w:val="Kiemels2"/>
        </w:rPr>
        <w:t>titkárság</w:t>
      </w:r>
      <w:proofErr w:type="gramEnd"/>
    </w:p>
    <w:p w:rsidR="006F06B0" w:rsidRDefault="006F06B0" w:rsidP="006F06B0">
      <w:pPr>
        <w:pStyle w:val="NormlWeb"/>
      </w:pPr>
      <w:r>
        <w:t xml:space="preserve">Az esetlegesen felmerülő kérdéseiket a </w:t>
      </w:r>
      <w:r>
        <w:t>titkarsag.zspsz</w:t>
      </w:r>
      <w:bookmarkStart w:id="0" w:name="_GoBack"/>
      <w:bookmarkEnd w:id="0"/>
      <w:r>
        <w:t>@gmail.com</w:t>
      </w:r>
      <w:r>
        <w:t xml:space="preserve"> e-mail címre küldjék el.</w:t>
      </w:r>
    </w:p>
    <w:p w:rsidR="00791C06" w:rsidRDefault="00791C06"/>
    <w:p w:rsidR="00791C06" w:rsidRDefault="00791C06" w:rsidP="00791C06">
      <w:pPr>
        <w:pStyle w:val="NormlWeb"/>
      </w:pPr>
      <w:r>
        <w:rPr>
          <w:u w:val="single"/>
        </w:rPr>
        <w:t>A 2011. évi köznevelési törvény érelmében:</w:t>
      </w:r>
    </w:p>
    <w:p w:rsidR="00791C06" w:rsidRDefault="00791C06" w:rsidP="00791C06">
      <w:pPr>
        <w:pStyle w:val="NormlWeb"/>
      </w:pPr>
      <w:r>
        <w:t>“A középiskola elvégzését közvetlenül követő érettségi vizsgaidőszakban az</w:t>
      </w:r>
      <w:r w:rsidR="006632B0">
        <w:t xml:space="preserve"> érettségi vizsgák megkezdésének feltétele ötven óra közösségi szolgálat elvégzésének igazolása</w:t>
      </w:r>
      <w:r w:rsidRPr="00941C54">
        <w:t>”</w:t>
      </w:r>
      <w:r>
        <w:t xml:space="preserve"> (6.§ (4))</w:t>
      </w:r>
    </w:p>
    <w:p w:rsidR="00791C06" w:rsidRDefault="00791C06" w:rsidP="00791C06">
      <w:pPr>
        <w:pStyle w:val="NormlWeb"/>
      </w:pPr>
      <w:r>
        <w:t>A „közösségi szolgálat: szociális, környezetvédelmi, a tanuló helyi közösségének javát szolgáló, szervezett keretek között folytatott, anyagi érdektől független, egyéni vagy csoportos tevékenység és annak pedagógiai feldolgozása.” (Értelmező rendelkezés 4.§ (13.) bekezdés)</w:t>
      </w:r>
    </w:p>
    <w:p w:rsidR="00791C06" w:rsidRDefault="00791C06" w:rsidP="00791C06">
      <w:pPr>
        <w:pStyle w:val="NormlWeb"/>
      </w:pPr>
      <w:r>
        <w:rPr>
          <w:u w:val="single"/>
        </w:rPr>
        <w:t>A vonatkozó Emmi rendelet (20/2012. (VIII. 31.) alapján</w:t>
      </w:r>
    </w:p>
    <w:p w:rsidR="00791C06" w:rsidRDefault="00791C06" w:rsidP="00791C06">
      <w:pPr>
        <w:pStyle w:val="NormlWeb"/>
      </w:pPr>
      <w:r>
        <w:t>133. § (1)</w:t>
      </w:r>
      <w:r w:rsidR="006632B0">
        <w:t xml:space="preserve"> a közösségi szolgálat</w:t>
      </w:r>
      <w:r>
        <w:t xml:space="preserve"> „állami, önkormányzati, civil, </w:t>
      </w:r>
      <w:r>
        <w:rPr>
          <w:rStyle w:val="Kiemels2"/>
          <w:shd w:val="clear" w:color="auto" w:fill="FFD700"/>
        </w:rPr>
        <w:t>nonprofit szervezetnél</w:t>
      </w:r>
      <w:r>
        <w:t xml:space="preserve">, illetve a lelkiismereti és vallásszabadság jogáról, valamint az </w:t>
      </w:r>
      <w:r>
        <w:rPr>
          <w:rStyle w:val="Kiemels2"/>
          <w:shd w:val="clear" w:color="auto" w:fill="FFD700"/>
        </w:rPr>
        <w:t>egyházak</w:t>
      </w:r>
      <w:r>
        <w:t xml:space="preserve">, vallásfelekezetek és vallási közösségek jogállásáról szóló törvény hatálya alá tartozó szervezetnél” </w:t>
      </w:r>
      <w:r>
        <w:rPr>
          <w:rStyle w:val="Kiemels2"/>
          <w:shd w:val="clear" w:color="auto" w:fill="FFD700"/>
        </w:rPr>
        <w:t>lehetséges végezni</w:t>
      </w:r>
      <w:r>
        <w:rPr>
          <w:rStyle w:val="Kiemels2"/>
        </w:rPr>
        <w:t>.</w:t>
      </w:r>
    </w:p>
    <w:p w:rsidR="00791C06" w:rsidRDefault="00791C06" w:rsidP="00791C06">
      <w:pPr>
        <w:pStyle w:val="NormlWeb"/>
      </w:pPr>
      <w:r>
        <w:t>(2) A közösségi szolgálat keretei között</w:t>
      </w:r>
    </w:p>
    <w:p w:rsidR="00791C06" w:rsidRDefault="00791C06" w:rsidP="00791C06">
      <w:pPr>
        <w:pStyle w:val="NormlWeb"/>
      </w:pPr>
      <w:proofErr w:type="gramStart"/>
      <w:r>
        <w:t>a</w:t>
      </w:r>
      <w:proofErr w:type="gramEnd"/>
      <w:r>
        <w:t>) az egészségügyi,</w:t>
      </w:r>
    </w:p>
    <w:p w:rsidR="00791C06" w:rsidRDefault="00791C06" w:rsidP="00791C06">
      <w:pPr>
        <w:pStyle w:val="NormlWeb"/>
      </w:pPr>
      <w:r>
        <w:t>b) a szociális és jótékonysági,</w:t>
      </w:r>
    </w:p>
    <w:p w:rsidR="00791C06" w:rsidRDefault="00791C06" w:rsidP="00791C06">
      <w:pPr>
        <w:pStyle w:val="NormlWeb"/>
      </w:pPr>
      <w:r>
        <w:t>c) az oktatási,</w:t>
      </w:r>
    </w:p>
    <w:p w:rsidR="00791C06" w:rsidRDefault="00791C06" w:rsidP="00791C06">
      <w:pPr>
        <w:pStyle w:val="NormlWeb"/>
      </w:pPr>
      <w:r>
        <w:t>d) a kulturális és közösségi,</w:t>
      </w:r>
    </w:p>
    <w:p w:rsidR="00791C06" w:rsidRDefault="00791C06" w:rsidP="00791C06">
      <w:pPr>
        <w:pStyle w:val="NormlWeb"/>
      </w:pPr>
      <w:proofErr w:type="gramStart"/>
      <w:r>
        <w:t>e</w:t>
      </w:r>
      <w:proofErr w:type="gramEnd"/>
      <w:r>
        <w:t>) a környezet- és természetvédelemi,</w:t>
      </w:r>
    </w:p>
    <w:p w:rsidR="00791C06" w:rsidRDefault="00791C06" w:rsidP="00791C06">
      <w:pPr>
        <w:pStyle w:val="NormlWeb"/>
      </w:pPr>
      <w:proofErr w:type="gramStart"/>
      <w:r>
        <w:t>f</w:t>
      </w:r>
      <w:proofErr w:type="gramEnd"/>
      <w:r>
        <w:t>) a katasztrófavédelmi,</w:t>
      </w:r>
    </w:p>
    <w:p w:rsidR="00791C06" w:rsidRDefault="00791C06" w:rsidP="00791C06">
      <w:pPr>
        <w:pStyle w:val="NormlWeb"/>
      </w:pPr>
      <w:proofErr w:type="gramStart"/>
      <w:r>
        <w:t>g</w:t>
      </w:r>
      <w:proofErr w:type="gramEnd"/>
      <w:r>
        <w:t xml:space="preserve">) az óvodás korú, sajátos nevelési igényű gyermekekkel, tanulókkal, az idős emberekkel </w:t>
      </w:r>
      <w:proofErr w:type="gramStart"/>
      <w:r>
        <w:t>közös</w:t>
      </w:r>
      <w:proofErr w:type="gramEnd"/>
      <w:r>
        <w:t xml:space="preserve"> sport- és szabadidős,</w:t>
      </w:r>
    </w:p>
    <w:p w:rsidR="00791C06" w:rsidRDefault="00791C06" w:rsidP="00791C06">
      <w:pPr>
        <w:pStyle w:val="NormlWeb"/>
      </w:pPr>
      <w:proofErr w:type="gramStart"/>
      <w:r>
        <w:t>h</w:t>
      </w:r>
      <w:proofErr w:type="gramEnd"/>
      <w:r>
        <w:t>) az egyes rendőrségi feladatok ellátására létrehozott szerveknél bűn- és baleset-megelőzési</w:t>
      </w:r>
    </w:p>
    <w:p w:rsidR="00791C06" w:rsidRDefault="00791C06" w:rsidP="00791C06">
      <w:pPr>
        <w:pStyle w:val="NormlWeb"/>
      </w:pPr>
      <w:proofErr w:type="gramStart"/>
      <w:r>
        <w:t>területen</w:t>
      </w:r>
      <w:proofErr w:type="gramEnd"/>
      <w:r>
        <w:t xml:space="preserve"> folytatható tevékenység.</w:t>
      </w:r>
    </w:p>
    <w:p w:rsidR="00791C06" w:rsidRDefault="00791C06" w:rsidP="00791C06">
      <w:pPr>
        <w:pStyle w:val="NormlWeb"/>
      </w:pPr>
      <w:r>
        <w:lastRenderedPageBreak/>
        <w:t xml:space="preserve">(7) A közösségi szolgálat helyszínén a tanuló tanítási napokon alkalmanként </w:t>
      </w:r>
      <w:r>
        <w:rPr>
          <w:rStyle w:val="Kiemels2"/>
          <w:shd w:val="clear" w:color="auto" w:fill="FFD700"/>
        </w:rPr>
        <w:t>legkevesebb egy, legfeljebb háromórás, tanítási napokon kívül</w:t>
      </w:r>
      <w:r>
        <w:t xml:space="preserve"> alkalmanként legkevesebb egy, </w:t>
      </w:r>
      <w:r>
        <w:rPr>
          <w:rStyle w:val="Kiemels2"/>
          <w:shd w:val="clear" w:color="auto" w:fill="FFD700"/>
        </w:rPr>
        <w:t>legfeljebb ötórás</w:t>
      </w:r>
      <w:r>
        <w:t xml:space="preserve"> időkeretben végezheti a tevékenységet.</w:t>
      </w:r>
    </w:p>
    <w:p w:rsidR="00791C06" w:rsidRDefault="00791C06" w:rsidP="00791C06">
      <w:pPr>
        <w:pStyle w:val="NormlWeb"/>
      </w:pPr>
      <w:r>
        <w:t xml:space="preserve">(8) A közösségi szolgálat során </w:t>
      </w:r>
      <w:r>
        <w:rPr>
          <w:rStyle w:val="Kiemels2"/>
          <w:shd w:val="clear" w:color="auto" w:fill="FFD700"/>
        </w:rPr>
        <w:t>a tanuló naplót köteles vezetni</w:t>
      </w:r>
      <w:r>
        <w:t xml:space="preserve"> […]</w:t>
      </w:r>
    </w:p>
    <w:p w:rsidR="00AC7DB6" w:rsidRDefault="00791C06" w:rsidP="00791C06">
      <w:pPr>
        <w:pStyle w:val="NormlWeb"/>
      </w:pPr>
      <w:r>
        <w:t xml:space="preserve"> - </w:t>
      </w:r>
      <w:r w:rsidR="008A4816">
        <w:t>Technikumban</w:t>
      </w:r>
      <w:r>
        <w:t xml:space="preserve"> minden diák a </w:t>
      </w:r>
      <w:r>
        <w:rPr>
          <w:shd w:val="clear" w:color="auto" w:fill="FFD700"/>
        </w:rPr>
        <w:t xml:space="preserve">9. évfolyamban kap egy </w:t>
      </w:r>
      <w:r w:rsidR="008A4816">
        <w:rPr>
          <w:rStyle w:val="Kiemels2"/>
          <w:shd w:val="clear" w:color="auto" w:fill="FFD700"/>
        </w:rPr>
        <w:t>Közösségi szolgálat - Naplót</w:t>
      </w:r>
      <w:r>
        <w:t xml:space="preserve">, melyben köteles vezetni, hogy </w:t>
      </w:r>
      <w:r>
        <w:rPr>
          <w:rStyle w:val="Kiemels2"/>
        </w:rPr>
        <w:t>mikor, milyen szervezetnél és milyen tevékenységet végzett</w:t>
      </w:r>
      <w:r>
        <w:t xml:space="preserve">, illetve azt </w:t>
      </w:r>
      <w:r>
        <w:rPr>
          <w:rStyle w:val="Kiemels2"/>
        </w:rPr>
        <w:t>hitelesíti is az adott szervezet az aláírásával, pecsétjével</w:t>
      </w:r>
      <w:r>
        <w:t>. -</w:t>
      </w:r>
      <w:r>
        <w:br/>
        <w:t xml:space="preserve">Amennyiben a diák elveszti a </w:t>
      </w:r>
      <w:r w:rsidR="00AC7DB6">
        <w:t>Közösségi szolgálat - Naplót</w:t>
      </w:r>
      <w:r>
        <w:t xml:space="preserve">, annak pótlása a </w:t>
      </w:r>
      <w:r w:rsidR="00AC7DB6">
        <w:t>titkárságon történik.</w:t>
      </w:r>
      <w:r>
        <w:br/>
      </w:r>
    </w:p>
    <w:p w:rsidR="00791C06" w:rsidRDefault="00791C06" w:rsidP="00791C06">
      <w:pPr>
        <w:pStyle w:val="NormlWeb"/>
      </w:pPr>
      <w:r>
        <w:t> </w:t>
      </w:r>
      <w:r w:rsidR="00527519">
        <w:t>(9) e) A</w:t>
      </w:r>
      <w:r>
        <w:t xml:space="preserve">z iskolán kívüli </w:t>
      </w:r>
      <w:r>
        <w:rPr>
          <w:rStyle w:val="Kiemels2"/>
        </w:rPr>
        <w:t>külső szervezet</w:t>
      </w:r>
      <w:r>
        <w:t xml:space="preserve"> […] az iskola és a felek </w:t>
      </w:r>
      <w:r>
        <w:rPr>
          <w:rStyle w:val="Kiemels2"/>
        </w:rPr>
        <w:t>együttműködéséről megállapodást kell kötni</w:t>
      </w:r>
      <w:r>
        <w:t>.</w:t>
      </w:r>
    </w:p>
    <w:p w:rsidR="00791C06" w:rsidRDefault="00791C06" w:rsidP="00791C06">
      <w:pPr>
        <w:pStyle w:val="NormlWeb"/>
      </w:pPr>
      <w:r>
        <w:t xml:space="preserve">- Ezt az iskola intézi az adott szervezettel, amennyiben az megfelel a jogszabályi háttérnek. A jelenleg az iskolával szerződésben álló szervezetek listája a honlapon a </w:t>
      </w:r>
      <w:r>
        <w:rPr>
          <w:rStyle w:val="Kiemels2"/>
          <w:shd w:val="clear" w:color="auto" w:fill="FFD700"/>
        </w:rPr>
        <w:t>Közösségi szolgálat -&gt; Fogadó intézmények</w:t>
      </w:r>
      <w:r w:rsidR="00AC7DB6">
        <w:t xml:space="preserve"> fülnél található. </w:t>
      </w:r>
      <w:r>
        <w:t> </w:t>
      </w:r>
    </w:p>
    <w:p w:rsidR="00791C06" w:rsidRDefault="00791C06" w:rsidP="00791C06">
      <w:pPr>
        <w:pStyle w:val="NormlWeb"/>
      </w:pPr>
      <w:r>
        <w:t>Az 50 óra teljesíthető egy vagy több projekt keretében, egy vagy több év alatt is. </w:t>
      </w:r>
      <w:r>
        <w:rPr>
          <w:shd w:val="clear" w:color="auto" w:fill="FFD700"/>
        </w:rPr>
        <w:t xml:space="preserve">Iskolánk álláspontja szerint, javasolt az órák teljesítése a </w:t>
      </w:r>
      <w:r w:rsidR="00AC7DB6">
        <w:rPr>
          <w:shd w:val="clear" w:color="auto" w:fill="FFD700"/>
        </w:rPr>
        <w:t>technikum</w:t>
      </w:r>
      <w:r>
        <w:rPr>
          <w:shd w:val="clear" w:color="auto" w:fill="FFD700"/>
        </w:rPr>
        <w:t xml:space="preserve"> 9. és 10. </w:t>
      </w:r>
      <w:r w:rsidR="00AC7DB6">
        <w:rPr>
          <w:shd w:val="clear" w:color="auto" w:fill="FFD700"/>
        </w:rPr>
        <w:t xml:space="preserve">és 11. </w:t>
      </w:r>
      <w:r>
        <w:rPr>
          <w:shd w:val="clear" w:color="auto" w:fill="FFD700"/>
        </w:rPr>
        <w:t>évfolyamán.</w:t>
      </w:r>
    </w:p>
    <w:p w:rsidR="00791C06" w:rsidRDefault="00791C06" w:rsidP="00791C06">
      <w:pPr>
        <w:pStyle w:val="NormlWeb"/>
      </w:pPr>
      <w:r>
        <w:t xml:space="preserve">A tanév végén az abban az időszakban elvégzett közösség szolgálat óraszáma a bizonyítványban, az elektronikus naplóban és a törzslapon is rögzítésre kerül. Ezért a tanulóknak júniusban le kell adniuk a </w:t>
      </w:r>
      <w:r w:rsidR="00AC7DB6">
        <w:t>Közösségi szolgálat - Naplójukat</w:t>
      </w:r>
      <w:r>
        <w:t xml:space="preserve"> az osztályfőnöknél, hogy a rögzítés megtörténhessen.</w:t>
      </w:r>
    </w:p>
    <w:p w:rsidR="00791C06" w:rsidRDefault="00791C06" w:rsidP="00791C06">
      <w:pPr>
        <w:pStyle w:val="NormlWeb"/>
      </w:pPr>
      <w:r>
        <w:t xml:space="preserve">További </w:t>
      </w:r>
      <w:proofErr w:type="gramStart"/>
      <w:r>
        <w:t>információ</w:t>
      </w:r>
      <w:proofErr w:type="gramEnd"/>
      <w:r>
        <w:t xml:space="preserve"> és jogszabályi háttér az Oktatási Hivatal weboldalán található:</w:t>
      </w:r>
    </w:p>
    <w:p w:rsidR="00791C06" w:rsidRDefault="006F06B0" w:rsidP="00791C06">
      <w:pPr>
        <w:pStyle w:val="NormlWeb"/>
      </w:pPr>
      <w:hyperlink r:id="rId4" w:history="1">
        <w:r w:rsidRPr="0011583B">
          <w:rPr>
            <w:rStyle w:val="Hiperhivatkozs"/>
          </w:rPr>
          <w:t>https://www.oktatas.hu/kozneveles/iskolai_kozossegi_szolgalat/jogszabalyok(link is external)</w:t>
        </w:r>
      </w:hyperlink>
    </w:p>
    <w:p w:rsidR="00791C06" w:rsidRDefault="00527519" w:rsidP="00527519">
      <w:pPr>
        <w:pStyle w:val="NormlWeb"/>
      </w:pPr>
      <w:r>
        <w:t>(10) A közösségi szolgálat óraszámai:</w:t>
      </w:r>
    </w:p>
    <w:p w:rsidR="00527519" w:rsidRDefault="00527519" w:rsidP="00527519">
      <w:pPr>
        <w:pStyle w:val="NormlWeb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2B5A34" w:rsidTr="002B5A34"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5A34" w:rsidRDefault="002B5A34" w:rsidP="00527519">
            <w:pPr>
              <w:pStyle w:val="NormlWeb"/>
            </w:pPr>
          </w:p>
        </w:tc>
        <w:tc>
          <w:tcPr>
            <w:tcW w:w="3005" w:type="dxa"/>
            <w:gridSpan w:val="2"/>
            <w:tcBorders>
              <w:left w:val="single" w:sz="4" w:space="0" w:color="auto"/>
            </w:tcBorders>
          </w:tcPr>
          <w:p w:rsidR="002B5A34" w:rsidRPr="002B5A34" w:rsidRDefault="002B5A34" w:rsidP="002B5A34">
            <w:pPr>
              <w:pStyle w:val="NormlWeb"/>
              <w:jc w:val="center"/>
              <w:rPr>
                <w:b/>
              </w:rPr>
            </w:pPr>
            <w:r w:rsidRPr="002B5A34">
              <w:rPr>
                <w:b/>
              </w:rPr>
              <w:t>Tanítási szünet</w:t>
            </w:r>
          </w:p>
        </w:tc>
        <w:tc>
          <w:tcPr>
            <w:tcW w:w="4509" w:type="dxa"/>
            <w:gridSpan w:val="3"/>
          </w:tcPr>
          <w:p w:rsidR="002B5A34" w:rsidRPr="002B5A34" w:rsidRDefault="002B5A34" w:rsidP="002B5A34">
            <w:pPr>
              <w:pStyle w:val="NormlWeb"/>
              <w:jc w:val="center"/>
              <w:rPr>
                <w:b/>
              </w:rPr>
            </w:pPr>
            <w:r w:rsidRPr="002B5A34">
              <w:rPr>
                <w:b/>
              </w:rPr>
              <w:t>Tanítási idő alatt</w:t>
            </w:r>
          </w:p>
        </w:tc>
      </w:tr>
      <w:tr w:rsidR="002B5A34" w:rsidTr="002B5A34">
        <w:tc>
          <w:tcPr>
            <w:tcW w:w="15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B5A34" w:rsidRDefault="002B5A34" w:rsidP="00527519">
            <w:pPr>
              <w:pStyle w:val="NormlWeb"/>
            </w:pPr>
          </w:p>
        </w:tc>
        <w:tc>
          <w:tcPr>
            <w:tcW w:w="1502" w:type="dxa"/>
            <w:vMerge w:val="restart"/>
            <w:tcBorders>
              <w:left w:val="single" w:sz="4" w:space="0" w:color="auto"/>
            </w:tcBorders>
          </w:tcPr>
          <w:p w:rsidR="002B5A34" w:rsidRPr="002B5A34" w:rsidRDefault="002B5A34" w:rsidP="002B5A34">
            <w:pPr>
              <w:pStyle w:val="NormlWeb"/>
              <w:jc w:val="center"/>
              <w:rPr>
                <w:b/>
              </w:rPr>
            </w:pPr>
            <w:r w:rsidRPr="002B5A34">
              <w:rPr>
                <w:b/>
              </w:rPr>
              <w:t>Napi</w:t>
            </w:r>
          </w:p>
        </w:tc>
        <w:tc>
          <w:tcPr>
            <w:tcW w:w="1503" w:type="dxa"/>
            <w:vMerge w:val="restart"/>
          </w:tcPr>
          <w:p w:rsidR="002B5A34" w:rsidRPr="002B5A34" w:rsidRDefault="002B5A34" w:rsidP="002B5A34">
            <w:pPr>
              <w:pStyle w:val="NormlWeb"/>
              <w:jc w:val="center"/>
              <w:rPr>
                <w:b/>
              </w:rPr>
            </w:pPr>
            <w:r w:rsidRPr="002B5A34">
              <w:rPr>
                <w:b/>
              </w:rPr>
              <w:t>Heti</w:t>
            </w:r>
          </w:p>
        </w:tc>
        <w:tc>
          <w:tcPr>
            <w:tcW w:w="3006" w:type="dxa"/>
            <w:gridSpan w:val="2"/>
          </w:tcPr>
          <w:p w:rsidR="002B5A34" w:rsidRPr="002B5A34" w:rsidRDefault="002B5A34" w:rsidP="002B5A34">
            <w:pPr>
              <w:pStyle w:val="NormlWeb"/>
              <w:jc w:val="center"/>
              <w:rPr>
                <w:b/>
              </w:rPr>
            </w:pPr>
            <w:r w:rsidRPr="002B5A34">
              <w:rPr>
                <w:b/>
              </w:rPr>
              <w:t>Napi</w:t>
            </w:r>
          </w:p>
        </w:tc>
        <w:tc>
          <w:tcPr>
            <w:tcW w:w="1503" w:type="dxa"/>
            <w:vMerge w:val="restart"/>
          </w:tcPr>
          <w:p w:rsidR="002B5A34" w:rsidRPr="002B5A34" w:rsidRDefault="002B5A34" w:rsidP="002B5A34">
            <w:pPr>
              <w:pStyle w:val="NormlWeb"/>
              <w:jc w:val="center"/>
              <w:rPr>
                <w:b/>
              </w:rPr>
            </w:pPr>
            <w:r w:rsidRPr="002B5A34">
              <w:rPr>
                <w:b/>
              </w:rPr>
              <w:t>Heti</w:t>
            </w:r>
          </w:p>
        </w:tc>
      </w:tr>
      <w:tr w:rsidR="002B5A34" w:rsidTr="002B5A34"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B5A34" w:rsidRDefault="002B5A34" w:rsidP="00527519">
            <w:pPr>
              <w:pStyle w:val="NormlWeb"/>
            </w:pPr>
          </w:p>
        </w:tc>
        <w:tc>
          <w:tcPr>
            <w:tcW w:w="1502" w:type="dxa"/>
            <w:vMerge/>
            <w:tcBorders>
              <w:left w:val="single" w:sz="4" w:space="0" w:color="auto"/>
            </w:tcBorders>
          </w:tcPr>
          <w:p w:rsidR="002B5A34" w:rsidRPr="002B5A34" w:rsidRDefault="002B5A34" w:rsidP="002B5A34">
            <w:pPr>
              <w:pStyle w:val="NormlWeb"/>
              <w:jc w:val="center"/>
              <w:rPr>
                <w:b/>
              </w:rPr>
            </w:pPr>
          </w:p>
        </w:tc>
        <w:tc>
          <w:tcPr>
            <w:tcW w:w="1503" w:type="dxa"/>
            <w:vMerge/>
          </w:tcPr>
          <w:p w:rsidR="002B5A34" w:rsidRPr="002B5A34" w:rsidRDefault="002B5A34" w:rsidP="002B5A34">
            <w:pPr>
              <w:pStyle w:val="NormlWeb"/>
              <w:jc w:val="center"/>
              <w:rPr>
                <w:b/>
              </w:rPr>
            </w:pPr>
          </w:p>
        </w:tc>
        <w:tc>
          <w:tcPr>
            <w:tcW w:w="1503" w:type="dxa"/>
          </w:tcPr>
          <w:p w:rsidR="002B5A34" w:rsidRPr="002B5A34" w:rsidRDefault="002B5A34" w:rsidP="002B5A34">
            <w:pPr>
              <w:pStyle w:val="NormlWeb"/>
              <w:jc w:val="center"/>
              <w:rPr>
                <w:b/>
              </w:rPr>
            </w:pPr>
            <w:r w:rsidRPr="002B5A34">
              <w:rPr>
                <w:b/>
              </w:rPr>
              <w:t>tanítási napon</w:t>
            </w:r>
          </w:p>
        </w:tc>
        <w:tc>
          <w:tcPr>
            <w:tcW w:w="1503" w:type="dxa"/>
          </w:tcPr>
          <w:p w:rsidR="002B5A34" w:rsidRPr="002B5A34" w:rsidRDefault="002B5A34" w:rsidP="002B5A34">
            <w:pPr>
              <w:pStyle w:val="NormlWeb"/>
              <w:jc w:val="center"/>
              <w:rPr>
                <w:b/>
              </w:rPr>
            </w:pPr>
            <w:r w:rsidRPr="002B5A34">
              <w:rPr>
                <w:b/>
              </w:rPr>
              <w:t>tanítási napon kívül</w:t>
            </w:r>
          </w:p>
        </w:tc>
        <w:tc>
          <w:tcPr>
            <w:tcW w:w="1503" w:type="dxa"/>
            <w:vMerge/>
          </w:tcPr>
          <w:p w:rsidR="002B5A34" w:rsidRDefault="002B5A34" w:rsidP="00527519">
            <w:pPr>
              <w:pStyle w:val="NormlWeb"/>
            </w:pPr>
          </w:p>
        </w:tc>
      </w:tr>
      <w:tr w:rsidR="002B5A34" w:rsidTr="002B5A34">
        <w:tc>
          <w:tcPr>
            <w:tcW w:w="1502" w:type="dxa"/>
            <w:tcBorders>
              <w:top w:val="single" w:sz="4" w:space="0" w:color="auto"/>
            </w:tcBorders>
          </w:tcPr>
          <w:p w:rsidR="002B5A34" w:rsidRPr="002B5A34" w:rsidRDefault="002B5A34" w:rsidP="00527519">
            <w:pPr>
              <w:pStyle w:val="NormlWeb"/>
              <w:rPr>
                <w:b/>
                <w:i/>
              </w:rPr>
            </w:pPr>
            <w:r w:rsidRPr="002B5A34">
              <w:rPr>
                <w:b/>
                <w:i/>
              </w:rPr>
              <w:t>16 év alatt</w:t>
            </w:r>
          </w:p>
        </w:tc>
        <w:tc>
          <w:tcPr>
            <w:tcW w:w="1502" w:type="dxa"/>
          </w:tcPr>
          <w:p w:rsidR="002B5A34" w:rsidRDefault="002B5A34" w:rsidP="002B5A34">
            <w:pPr>
              <w:pStyle w:val="NormlWeb"/>
              <w:jc w:val="center"/>
            </w:pPr>
            <w:r>
              <w:t>1-3 óra</w:t>
            </w:r>
          </w:p>
        </w:tc>
        <w:tc>
          <w:tcPr>
            <w:tcW w:w="1503" w:type="dxa"/>
          </w:tcPr>
          <w:p w:rsidR="002B5A34" w:rsidRDefault="002B5A34" w:rsidP="002B5A34">
            <w:pPr>
              <w:pStyle w:val="NormlWeb"/>
              <w:jc w:val="center"/>
            </w:pPr>
            <w:r>
              <w:t>1-12 óra</w:t>
            </w:r>
          </w:p>
        </w:tc>
        <w:tc>
          <w:tcPr>
            <w:tcW w:w="1503" w:type="dxa"/>
          </w:tcPr>
          <w:p w:rsidR="002B5A34" w:rsidRDefault="002B5A34" w:rsidP="002B5A34">
            <w:pPr>
              <w:pStyle w:val="NormlWeb"/>
              <w:jc w:val="center"/>
            </w:pPr>
            <w:r>
              <w:t>1-2 óra</w:t>
            </w:r>
          </w:p>
        </w:tc>
        <w:tc>
          <w:tcPr>
            <w:tcW w:w="1503" w:type="dxa"/>
          </w:tcPr>
          <w:p w:rsidR="002B5A34" w:rsidRDefault="002B5A34" w:rsidP="002B5A34">
            <w:pPr>
              <w:pStyle w:val="NormlWeb"/>
              <w:jc w:val="center"/>
            </w:pPr>
            <w:r>
              <w:t>1-3 óra</w:t>
            </w:r>
          </w:p>
        </w:tc>
        <w:tc>
          <w:tcPr>
            <w:tcW w:w="1503" w:type="dxa"/>
          </w:tcPr>
          <w:p w:rsidR="002B5A34" w:rsidRDefault="002B5A34" w:rsidP="002B5A34">
            <w:pPr>
              <w:pStyle w:val="NormlWeb"/>
              <w:jc w:val="center"/>
            </w:pPr>
            <w:r>
              <w:t>1-6 óra</w:t>
            </w:r>
          </w:p>
        </w:tc>
      </w:tr>
      <w:tr w:rsidR="002B5A34" w:rsidTr="002B5A34">
        <w:tc>
          <w:tcPr>
            <w:tcW w:w="1502" w:type="dxa"/>
          </w:tcPr>
          <w:p w:rsidR="002B5A34" w:rsidRPr="002B5A34" w:rsidRDefault="002B5A34" w:rsidP="00527519">
            <w:pPr>
              <w:pStyle w:val="NormlWeb"/>
              <w:rPr>
                <w:b/>
                <w:i/>
              </w:rPr>
            </w:pPr>
            <w:r w:rsidRPr="002B5A34">
              <w:rPr>
                <w:b/>
                <w:i/>
              </w:rPr>
              <w:t>16-18 éves</w:t>
            </w:r>
          </w:p>
        </w:tc>
        <w:tc>
          <w:tcPr>
            <w:tcW w:w="1502" w:type="dxa"/>
          </w:tcPr>
          <w:p w:rsidR="002B5A34" w:rsidRDefault="002B5A34" w:rsidP="002B5A34">
            <w:pPr>
              <w:pStyle w:val="NormlWeb"/>
              <w:jc w:val="center"/>
            </w:pPr>
            <w:r>
              <w:t>1-4,5 óra</w:t>
            </w:r>
          </w:p>
        </w:tc>
        <w:tc>
          <w:tcPr>
            <w:tcW w:w="1503" w:type="dxa"/>
          </w:tcPr>
          <w:p w:rsidR="002B5A34" w:rsidRDefault="002B5A34" w:rsidP="002B5A34">
            <w:pPr>
              <w:pStyle w:val="NormlWeb"/>
              <w:jc w:val="center"/>
            </w:pPr>
            <w:r>
              <w:t>1-18 óra</w:t>
            </w:r>
          </w:p>
        </w:tc>
        <w:tc>
          <w:tcPr>
            <w:tcW w:w="1503" w:type="dxa"/>
          </w:tcPr>
          <w:p w:rsidR="002B5A34" w:rsidRDefault="002B5A34" w:rsidP="002B5A34">
            <w:pPr>
              <w:pStyle w:val="NormlWeb"/>
              <w:jc w:val="center"/>
            </w:pPr>
            <w:r>
              <w:t>1-3 óra</w:t>
            </w:r>
          </w:p>
        </w:tc>
        <w:tc>
          <w:tcPr>
            <w:tcW w:w="1503" w:type="dxa"/>
          </w:tcPr>
          <w:p w:rsidR="002B5A34" w:rsidRDefault="002B5A34" w:rsidP="002B5A34">
            <w:pPr>
              <w:pStyle w:val="NormlWeb"/>
              <w:jc w:val="center"/>
            </w:pPr>
            <w:r>
              <w:t>1-4,5 óra</w:t>
            </w:r>
          </w:p>
        </w:tc>
        <w:tc>
          <w:tcPr>
            <w:tcW w:w="1503" w:type="dxa"/>
          </w:tcPr>
          <w:p w:rsidR="002B5A34" w:rsidRDefault="002B5A34" w:rsidP="002B5A34">
            <w:pPr>
              <w:pStyle w:val="NormlWeb"/>
              <w:jc w:val="center"/>
            </w:pPr>
            <w:r>
              <w:t>1-18 óra</w:t>
            </w:r>
          </w:p>
        </w:tc>
      </w:tr>
      <w:tr w:rsidR="002B5A34" w:rsidTr="002B5A34">
        <w:tc>
          <w:tcPr>
            <w:tcW w:w="1502" w:type="dxa"/>
          </w:tcPr>
          <w:p w:rsidR="002B5A34" w:rsidRPr="002B5A34" w:rsidRDefault="002B5A34" w:rsidP="00527519">
            <w:pPr>
              <w:pStyle w:val="NormlWeb"/>
              <w:rPr>
                <w:b/>
                <w:i/>
              </w:rPr>
            </w:pPr>
            <w:r w:rsidRPr="002B5A34">
              <w:rPr>
                <w:b/>
                <w:i/>
              </w:rPr>
              <w:t>18 év fölött</w:t>
            </w:r>
          </w:p>
        </w:tc>
        <w:tc>
          <w:tcPr>
            <w:tcW w:w="1502" w:type="dxa"/>
          </w:tcPr>
          <w:p w:rsidR="002B5A34" w:rsidRDefault="002B5A34" w:rsidP="002B5A34">
            <w:pPr>
              <w:pStyle w:val="NormlWeb"/>
              <w:jc w:val="center"/>
            </w:pPr>
            <w:r>
              <w:t>1-5 óra</w:t>
            </w:r>
          </w:p>
        </w:tc>
        <w:tc>
          <w:tcPr>
            <w:tcW w:w="1503" w:type="dxa"/>
          </w:tcPr>
          <w:p w:rsidR="002B5A34" w:rsidRDefault="002B5A34" w:rsidP="002B5A34">
            <w:pPr>
              <w:pStyle w:val="NormlWeb"/>
              <w:jc w:val="center"/>
            </w:pPr>
            <w:r>
              <w:t>-</w:t>
            </w:r>
          </w:p>
        </w:tc>
        <w:tc>
          <w:tcPr>
            <w:tcW w:w="1503" w:type="dxa"/>
          </w:tcPr>
          <w:p w:rsidR="002B5A34" w:rsidRDefault="002B5A34" w:rsidP="002B5A34">
            <w:pPr>
              <w:pStyle w:val="NormlWeb"/>
              <w:jc w:val="center"/>
            </w:pPr>
            <w:r>
              <w:t>1-3 óra</w:t>
            </w:r>
          </w:p>
        </w:tc>
        <w:tc>
          <w:tcPr>
            <w:tcW w:w="1503" w:type="dxa"/>
          </w:tcPr>
          <w:p w:rsidR="002B5A34" w:rsidRDefault="002B5A34" w:rsidP="002B5A34">
            <w:pPr>
              <w:pStyle w:val="NormlWeb"/>
              <w:jc w:val="center"/>
            </w:pPr>
            <w:r>
              <w:t>1-5 óra</w:t>
            </w:r>
          </w:p>
        </w:tc>
        <w:tc>
          <w:tcPr>
            <w:tcW w:w="1503" w:type="dxa"/>
          </w:tcPr>
          <w:p w:rsidR="002B5A34" w:rsidRDefault="002B5A34" w:rsidP="002B5A34">
            <w:pPr>
              <w:pStyle w:val="NormlWeb"/>
              <w:jc w:val="center"/>
            </w:pPr>
            <w:r>
              <w:t>-</w:t>
            </w:r>
          </w:p>
        </w:tc>
      </w:tr>
    </w:tbl>
    <w:p w:rsidR="00527519" w:rsidRDefault="00527519" w:rsidP="00527519">
      <w:pPr>
        <w:pStyle w:val="NormlWeb"/>
      </w:pPr>
    </w:p>
    <w:sectPr w:rsidR="00527519" w:rsidSect="009037C4">
      <w:type w:val="continuous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06"/>
    <w:rsid w:val="002B5A34"/>
    <w:rsid w:val="00485F5F"/>
    <w:rsid w:val="00527519"/>
    <w:rsid w:val="006632B0"/>
    <w:rsid w:val="006F06B0"/>
    <w:rsid w:val="00791C06"/>
    <w:rsid w:val="008A4816"/>
    <w:rsid w:val="009037C4"/>
    <w:rsid w:val="00941C54"/>
    <w:rsid w:val="00A431C4"/>
    <w:rsid w:val="00AC7DB6"/>
    <w:rsid w:val="00F9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F872F"/>
  <w15:chartTrackingRefBased/>
  <w15:docId w15:val="{1BDDE111-277A-4B3A-9E56-0EC591E41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791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791C06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791C06"/>
    <w:rPr>
      <w:color w:val="0000FF"/>
      <w:u w:val="single"/>
    </w:rPr>
  </w:style>
  <w:style w:type="character" w:customStyle="1" w:styleId="element-invisible">
    <w:name w:val="element-invisible"/>
    <w:basedOn w:val="Bekezdsalapbettpusa"/>
    <w:rsid w:val="00791C06"/>
  </w:style>
  <w:style w:type="table" w:styleId="Rcsostblzat">
    <w:name w:val="Table Grid"/>
    <w:basedOn w:val="Normltblzat"/>
    <w:uiPriority w:val="39"/>
    <w:rsid w:val="002B5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">
    <w:name w:val="Emphasis"/>
    <w:basedOn w:val="Bekezdsalapbettpusa"/>
    <w:uiPriority w:val="20"/>
    <w:qFormat/>
    <w:rsid w:val="006F06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5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oktatas.hu/kozneveles/iskolai_kozossegi_szolgalat/jogszabalyok(link%20is%20external)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442</Words>
  <Characters>3057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2025-09-26T06:18:00Z</dcterms:created>
  <dcterms:modified xsi:type="dcterms:W3CDTF">2025-11-27T14:42:00Z</dcterms:modified>
</cp:coreProperties>
</file>